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5" w:name="_GoBack"/>
      <w:bookmarkEnd w:id="25"/>
    </w:p>
    <w:p/>
    <w:p/>
    <w:p/>
    <w:p/>
    <w:p/>
    <w:p>
      <w:pPr>
        <w:rPr>
          <w:sz w:val="56"/>
          <w:szCs w:val="4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284480</wp:posOffset>
                </wp:positionV>
                <wp:extent cx="5429250" cy="885825"/>
                <wp:effectExtent l="5080" t="4445" r="13970" b="508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dobe 黑体 Std R" w:hAnsi="Adobe 黑体 Std R" w:eastAsia="Adobe 黑体 Std R"/>
                                <w:color w:val="376092" w:themeColor="accent1" w:themeShade="B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Adobe 黑体 Std R" w:hAnsi="Adobe 黑体 Std R" w:eastAsia="Adobe 黑体 Std R"/>
                                <w:color w:val="376092" w:themeColor="accent1" w:themeShade="BF"/>
                                <w:sz w:val="84"/>
                                <w:szCs w:val="84"/>
                              </w:rPr>
                              <w:t>河南微法院使用手册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.5pt;margin-top:22.4pt;height:69.75pt;width:427.5pt;z-index:251658240;mso-width-relative:page;mso-height-relative:page;" fillcolor="#FFFFFF" filled="t" stroked="t" coordsize="21600,21600" o:gfxdata="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AXxqgi1AAAAAgBAAAPAAAAAAAAAAEAIAAAADgAAABkcnMvZG93bnJldi54bWxQSwEC&#10;FAAUAAAACACHTuJACR93iOIBAADbAwAADgAAAAAAAAABACAAAAA5AQAAZHJzL2Uyb0RvYy54bWxQ&#10;SwUGAAAAAAYABgBZAQAAjQ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dobe 黑体 Std R" w:hAnsi="Adobe 黑体 Std R" w:eastAsia="Adobe 黑体 Std R"/>
                          <w:color w:val="376092" w:themeColor="accent1" w:themeShade="BF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Adobe 黑体 Std R" w:hAnsi="Adobe 黑体 Std R" w:eastAsia="Adobe 黑体 Std R"/>
                          <w:color w:val="376092" w:themeColor="accent1" w:themeShade="BF"/>
                          <w:sz w:val="84"/>
                          <w:szCs w:val="84"/>
                        </w:rPr>
                        <w:t>河南微法院使用手册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1498600</wp:posOffset>
                </wp:positionV>
                <wp:extent cx="3571875" cy="638175"/>
                <wp:effectExtent l="4445" t="4445" r="5080" b="5080"/>
                <wp:wrapNone/>
                <wp:docPr id="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 法官适用 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7.05pt;margin-top:118pt;height:50.25pt;width:281.25pt;z-index:251659264;mso-width-relative:page;mso-height-relative:page;" fillcolor="#FFFFFF" filled="t" stroked="t" coordsize="21600,21600" o:gfxdata="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ciJFHtgAAAALAQAADwAAAAAAAAABACAAAAA4AAAAZHJzL2Rvd25yZXYueG1s&#10;UEsBAhQAFAAAAAgAh07iQA4JlAjiAQAA2wMAAA4AAAAAAAAAAQAgAAAAPQEAAGRycy9lMm9Eb2Mu&#10;eG1sUEsFBgAAAAAGAAYAWQEAAJE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（ 法官适用 ）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Toc10532395"/>
      <w:bookmarkStart w:id="1" w:name="_Toc14785287"/>
      <w:bookmarkStart w:id="2" w:name="_Toc2684"/>
    </w:p>
    <w:p>
      <w:pPr>
        <w:pStyle w:val="13"/>
        <w:jc w:val="center"/>
        <w:rPr>
          <w:sz w:val="56"/>
          <w:szCs w:val="40"/>
        </w:rPr>
      </w:pPr>
      <w:bookmarkStart w:id="3" w:name="_Toc14787568"/>
      <w:r>
        <w:rPr>
          <w:rFonts w:hint="eastAsia"/>
          <w:sz w:val="56"/>
          <w:szCs w:val="40"/>
        </w:rPr>
        <w:t>河南微法院使用手册</w:t>
      </w:r>
      <w:bookmarkEnd w:id="3"/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bookmarkStart w:id="4" w:name="_Toc18684_WPSOffice_Level1"/>
      <w:bookmarkStart w:id="5" w:name="_Toc18622_WPSOffice_Level1"/>
      <w:bookmarkStart w:id="6" w:name="_Toc4631_WPSOffice_Level1"/>
      <w:r>
        <w:rPr>
          <w:rFonts w:hint="eastAsia" w:asciiTheme="minorEastAsia" w:hAnsiTheme="minorEastAsia" w:eastAsiaTheme="minorEastAsia"/>
          <w:b/>
          <w:sz w:val="32"/>
        </w:rPr>
        <w:t>法官适用</w:t>
      </w:r>
      <w:bookmarkEnd w:id="4"/>
      <w:bookmarkEnd w:id="5"/>
      <w:bookmarkEnd w:id="6"/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bookmarkStart w:id="7" w:name="_Toc10344_WPSOffice_Level1"/>
      <w:bookmarkStart w:id="8" w:name="_Toc5857_WPSOffice_Level1"/>
      <w:bookmarkStart w:id="9" w:name="_Toc15860_WPSOffice_Level1"/>
      <w:r>
        <w:rPr>
          <w:rFonts w:hint="eastAsia" w:asciiTheme="minorEastAsia" w:hAnsiTheme="minorEastAsia" w:eastAsiaTheme="minorEastAsia"/>
          <w:b/>
          <w:sz w:val="32"/>
        </w:rPr>
        <w:t>【首次进入】</w:t>
      </w:r>
      <w:bookmarkEnd w:id="7"/>
      <w:bookmarkEnd w:id="8"/>
      <w:bookmarkEnd w:id="9"/>
    </w:p>
    <w:p>
      <w:pPr>
        <w:jc w:val="left"/>
        <w:rPr>
          <w:rFonts w:asciiTheme="minorEastAsia" w:hAnsiTheme="minorEastAsia" w:eastAsiaTheme="minorEastAsia"/>
          <w:bCs/>
          <w:sz w:val="32"/>
        </w:rPr>
      </w:pPr>
      <w:r>
        <w:rPr>
          <w:rFonts w:hint="eastAsia" w:asciiTheme="minorEastAsia" w:hAnsiTheme="minorEastAsia" w:eastAsiaTheme="minorEastAsia"/>
          <w:bCs/>
          <w:sz w:val="32"/>
        </w:rPr>
        <w:t>微信首页，点击右上角“搜索”，输入“河南移动微法院”，点击进入河南移动微法院小程序。</w:t>
      </w: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r>
        <w:rPr>
          <w:rFonts w:hint="eastAsia" w:asciiTheme="minorEastAsia" w:hAnsiTheme="minorEastAsia" w:eastAsiaTheme="minorEastAsia"/>
          <w:b/>
          <w:sz w:val="32"/>
        </w:rPr>
        <w:t>【再次进入】</w:t>
      </w:r>
    </w:p>
    <w:p>
      <w:pPr>
        <w:jc w:val="left"/>
        <w:rPr>
          <w:rFonts w:asciiTheme="minorEastAsia" w:hAnsiTheme="minorEastAsia" w:eastAsiaTheme="minorEastAsia"/>
          <w:bCs/>
          <w:sz w:val="32"/>
        </w:rPr>
      </w:pPr>
      <w:r>
        <w:rPr>
          <w:rFonts w:hint="eastAsia" w:asciiTheme="minorEastAsia" w:hAnsiTheme="minorEastAsia" w:eastAsiaTheme="minorEastAsia"/>
          <w:bCs/>
          <w:sz w:val="32"/>
        </w:rPr>
        <w:t>微信首界面下拉，可在“最近使用”中看到“河南移动微法院”小程序，点击进入即可。</w:t>
      </w:r>
    </w:p>
    <w:p>
      <w:pPr>
        <w:rPr>
          <w:rFonts w:asciiTheme="minorEastAsia" w:hAnsiTheme="minorEastAsia" w:eastAsiaTheme="minorEastAsia"/>
          <w:b/>
          <w:sz w:val="32"/>
        </w:rPr>
      </w:pPr>
      <w:r>
        <w:rPr>
          <w:rFonts w:hint="eastAsia" w:asciiTheme="minorEastAsia" w:hAnsiTheme="minorEastAsia" w:eastAsiaTheme="minorEastAsia"/>
          <w:b/>
          <w:sz w:val="32"/>
        </w:rPr>
        <w:br w:type="page"/>
      </w:r>
    </w:p>
    <w:p>
      <w:pPr>
        <w:pStyle w:val="2"/>
      </w:pPr>
      <w:bookmarkStart w:id="10" w:name="_Toc24489_WPSOffice_Level1"/>
      <w:bookmarkStart w:id="11" w:name="_Toc20114"/>
      <w:bookmarkStart w:id="12" w:name="_Toc14787569"/>
      <w:r>
        <w:rPr>
          <w:rFonts w:hint="eastAsia"/>
        </w:rPr>
        <w:t>一、首页</w:t>
      </w:r>
      <w:bookmarkEnd w:id="10"/>
      <w:bookmarkEnd w:id="11"/>
      <w:bookmarkEnd w:id="12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打开微法院小程序，首页如图1.1所示：</w:t>
      </w:r>
    </w:p>
    <w:p>
      <w:pPr>
        <w:jc w:val="center"/>
      </w:pPr>
      <w:r>
        <w:t xml:space="preserve"> </w:t>
      </w:r>
      <w:r>
        <w:rPr>
          <w:rFonts w:hint="eastAsia"/>
        </w:rPr>
        <w:drawing>
          <wp:inline distT="0" distB="0" distL="0" distR="0">
            <wp:extent cx="1973580" cy="3512820"/>
            <wp:effectExtent l="0" t="0" r="7620" b="0"/>
            <wp:docPr id="230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895" cy="35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图1.1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通过右下角我的页签，切换页面，通过右上角下拉选择法官身份，如图1.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jc w:val="center"/>
      </w:pPr>
      <w:r>
        <w:drawing>
          <wp:inline distT="0" distB="0" distL="0" distR="0">
            <wp:extent cx="1922145" cy="3421380"/>
            <wp:effectExtent l="0" t="0" r="1905" b="762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066" cy="3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 </w:t>
      </w:r>
      <w:r>
        <w:t>1</w:t>
      </w:r>
      <w:r>
        <w:rPr>
          <w:rFonts w:hint="eastAsia"/>
        </w:rPr>
        <w:t>.</w:t>
      </w:r>
      <w:r>
        <w:t>2</w:t>
      </w:r>
    </w:p>
    <w:p>
      <w:pPr>
        <w:pStyle w:val="2"/>
      </w:pPr>
      <w:bookmarkStart w:id="13" w:name="_Toc7440"/>
      <w:bookmarkStart w:id="14" w:name="_Toc9119_WPSOffice_Level1"/>
      <w:bookmarkStart w:id="15" w:name="_Toc14787570"/>
      <w:r>
        <w:rPr>
          <w:rFonts w:hint="eastAsia"/>
        </w:rPr>
        <w:t>二、我的案件</w:t>
      </w:r>
      <w:bookmarkEnd w:id="13"/>
      <w:bookmarkEnd w:id="14"/>
      <w:bookmarkEnd w:id="15"/>
    </w:p>
    <w:p>
      <w:pPr>
        <w:pStyle w:val="3"/>
        <w:ind w:firstLine="961" w:firstLineChars="300"/>
      </w:pPr>
      <w:bookmarkStart w:id="16" w:name="_Toc14787571"/>
      <w:bookmarkStart w:id="17" w:name="_Toc11595_WPSOffice_Level2"/>
      <w:bookmarkStart w:id="18" w:name="_Toc20333"/>
      <w:r>
        <w:rPr>
          <w:rFonts w:hint="eastAsia"/>
        </w:rPr>
        <w:t>1、审判案件</w:t>
      </w:r>
      <w:bookmarkEnd w:id="16"/>
      <w:bookmarkEnd w:id="17"/>
      <w:bookmarkEnd w:id="18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点击我的案件，弹出对话框如图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.1。</w:t>
      </w:r>
    </w:p>
    <w:p>
      <w:pPr>
        <w:pStyle w:val="22"/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037715" cy="362712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515" cy="36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ab/>
      </w:r>
      <w:r>
        <w:rPr>
          <w:rFonts w:hint="eastAsia" w:ascii="仿宋" w:hAnsi="仿宋" w:eastAsia="仿宋"/>
          <w:szCs w:val="28"/>
        </w:rPr>
        <w:t>点击“审判案件”，进入审判案件列表。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19" w:name="_Toc25479"/>
      <w:bookmarkStart w:id="20" w:name="_Toc14787572"/>
      <w:r>
        <w:rPr>
          <w:rFonts w:hint="eastAsia" w:ascii="仿宋" w:hAnsi="仿宋" w:eastAsia="仿宋"/>
          <w:sz w:val="28"/>
          <w:szCs w:val="28"/>
        </w:rPr>
        <w:t>1.1案件列表</w:t>
      </w:r>
      <w:bookmarkEnd w:id="19"/>
      <w:bookmarkEnd w:id="20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法官在主页点击“我的案件”按钮，进入所承办案件列表页，在“我的案件”页面可进行案号、名称等字段的模糊搜索，并可进行未结和已结案件的分类查阅。通过点击右侧下拉按钮按照立案时间进行排序。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.1.1.1为未结案件列表。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110740" cy="3756660"/>
            <wp:effectExtent l="0" t="0" r="381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99" cy="37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.1.1.1</w:t>
      </w:r>
    </w:p>
    <w:p>
      <w:pPr>
        <w:ind w:firstLine="56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.1.1.2为已结案件列表。</w:t>
      </w:r>
    </w:p>
    <w:p>
      <w:pPr>
        <w:ind w:firstLine="560"/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181225" cy="388112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715" cy="38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.1.1.2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21" w:name="_Toc30041"/>
      <w:bookmarkStart w:id="22" w:name="_Toc14787573"/>
      <w:r>
        <w:rPr>
          <w:rFonts w:hint="eastAsia" w:ascii="仿宋" w:hAnsi="仿宋" w:eastAsia="仿宋"/>
          <w:sz w:val="28"/>
          <w:szCs w:val="28"/>
        </w:rPr>
        <w:t>1.2掌上法庭消息页面</w:t>
      </w:r>
      <w:bookmarkEnd w:id="21"/>
      <w:bookmarkEnd w:id="22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在我的案件页面点击具体案件可进入掌上法庭页面，如图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.1.2.1。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127885" cy="3787140"/>
            <wp:effectExtent l="0" t="0" r="5715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766" cy="38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.1.2.1</w:t>
      </w:r>
    </w:p>
    <w:p>
      <w:pPr>
        <w:pStyle w:val="22"/>
        <w:ind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.1.2.2，法官在掌上法庭页面可进行证据和送达内容的分类查看，默认展示全部消息的聊天界面。</w:t>
      </w:r>
    </w:p>
    <w:p>
      <w:pPr>
        <w:pStyle w:val="22"/>
        <w:ind w:left="360" w:firstLine="0" w:firstLineChars="0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127885" cy="3787140"/>
            <wp:effectExtent l="0" t="0" r="5715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766" cy="38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.1.2.2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.1.2.3，点击切换至“证据”可只查看证据及质证消息。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92325" cy="3724275"/>
            <wp:effectExtent l="19050" t="0" r="2599" b="0"/>
            <wp:docPr id="2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181" cy="37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.1.2.3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.1.2.4，点击切换至“送达”可只查看送达消息。</w:t>
      </w:r>
    </w:p>
    <w:p>
      <w:pPr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491740" cy="4433570"/>
            <wp:effectExtent l="0" t="0" r="3810" b="508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568" cy="44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.1.2.4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23" w:name="_Toc14787574"/>
      <w:bookmarkStart w:id="24" w:name="_Toc9843"/>
      <w:r>
        <w:rPr>
          <w:rFonts w:hint="eastAsia" w:ascii="仿宋" w:hAnsi="仿宋" w:eastAsia="仿宋"/>
          <w:sz w:val="28"/>
          <w:szCs w:val="28"/>
        </w:rPr>
        <w:t>1.3审判法官页面功能</w:t>
      </w:r>
      <w:bookmarkEnd w:id="23"/>
      <w:bookmarkEnd w:id="24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点击掌上法庭页面右下角的加号，可进入功能页面。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.1.3，为点击加号弹出选项页。</w:t>
      </w:r>
    </w:p>
    <w:p>
      <w:pPr>
        <w:pStyle w:val="22"/>
        <w:ind w:firstLine="0" w:firstLineChars="0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  <w:r>
        <w:drawing>
          <wp:inline distT="0" distB="0" distL="0" distR="0">
            <wp:extent cx="2402205" cy="427545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40" cy="43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</w:t>
      </w:r>
    </w:p>
    <w:p>
      <w:pPr>
        <w:pStyle w:val="5"/>
      </w:pPr>
      <w:r>
        <w:rPr>
          <w:rFonts w:hint="eastAsia"/>
        </w:rPr>
        <w:t>1.3.1案件详情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案件详情页面包括基本信息、案件主体等，默认展示基本信息。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.1.3.1所示，为案件基本信息页面。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895475" cy="3372485"/>
            <wp:effectExtent l="1905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34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.1.3.2为案件主体页面，点击案件主体，可展示当事人和代理人的信息。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82470" cy="3528060"/>
            <wp:effectExtent l="0" t="0" r="0" b="0"/>
            <wp:docPr id="2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640" cy="35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</w:t>
      </w:r>
    </w:p>
    <w:p>
      <w:pPr>
        <w:pStyle w:val="5"/>
      </w:pPr>
      <w:r>
        <w:rPr>
          <w:rFonts w:hint="eastAsia"/>
        </w:rPr>
        <w:t>1.3.2文书送达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文书送达页面可添加文书图片，以及进行文书类型的选择，点击继续添加，可以发送多个文书，并可进行接收方的选择，点击下一步，可进行发送前的文书预览，确认后可选择确认发送和返回修改。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.1.3.3，为文书送达的操作页面。</w:t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935480" cy="3444240"/>
            <wp:effectExtent l="0" t="0" r="7620" b="3810"/>
            <wp:docPr id="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211" cy="34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.1.3.3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.1.3.4，为文书类型选择页面，每次只能选择一种文书类型。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其中类型“申请书”暂不支持。</w:t>
      </w:r>
    </w:p>
    <w:p>
      <w:pPr>
        <w:pStyle w:val="22"/>
        <w:ind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324735" cy="413766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246" cy="4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.1.3.4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.1.3.5，为文书发送前确认发送信息页面。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33575" cy="3440430"/>
            <wp:effectExtent l="19050" t="0" r="9525" b="0"/>
            <wp:docPr id="2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36" cy="34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.1.3.5</w:t>
      </w:r>
    </w:p>
    <w:p>
      <w:pPr>
        <w:pStyle w:val="5"/>
      </w:pPr>
      <w:r>
        <w:rPr>
          <w:rFonts w:hint="eastAsia"/>
        </w:rPr>
        <w:t>1.3.3提交证据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提交证据页面可以提交证据图片，并可进行证据提供方的选择，确认无误后点击提交。如图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.1.3.6，为提交证据页面。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59305" cy="3665220"/>
            <wp:effectExtent l="0" t="0" r="0" b="0"/>
            <wp:docPr id="2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56" cy="36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.1.3.6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.1.3.7，法官提交证据时，证据的提供方选择页面。</w:t>
      </w:r>
    </w:p>
    <w:p>
      <w:pPr>
        <w:ind w:firstLine="2520" w:firstLineChars="900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91055" cy="3721100"/>
            <wp:effectExtent l="0" t="0" r="444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232" cy="37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.1.3.7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.1.3.8，为发送前确认页面。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 xml:space="preserve">   </w:t>
      </w:r>
      <w:r>
        <w:rPr>
          <w:rFonts w:hint="eastAsia" w:ascii="仿宋" w:hAnsi="仿宋" w:eastAsia="仿宋"/>
          <w:szCs w:val="28"/>
        </w:rPr>
        <w:t xml:space="preserve"> </w:t>
      </w:r>
      <w:r>
        <w:rPr>
          <w:rFonts w:ascii="仿宋" w:hAnsi="仿宋" w:eastAsia="仿宋"/>
          <w:szCs w:val="28"/>
        </w:rPr>
        <w:t xml:space="preserve">  </w:t>
      </w:r>
      <w:r>
        <w:rPr>
          <w:rFonts w:hint="eastAsia"/>
        </w:rPr>
        <w:drawing>
          <wp:inline distT="0" distB="0" distL="0" distR="0">
            <wp:extent cx="2185670" cy="3890010"/>
            <wp:effectExtent l="0" t="0" r="508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450" cy="39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.1.3.8</w:t>
      </w:r>
    </w:p>
    <w:p>
      <w:pPr>
        <w:pStyle w:val="5"/>
      </w:pPr>
      <w:r>
        <w:rPr>
          <w:rFonts w:hint="eastAsia"/>
        </w:rPr>
        <w:t>1.3.4联系各方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联系各方页面可通过选择接收方，私信发送文字、图片、语音、视频等消息。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.1.3.9所示，为联系各方页面。</w:t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831340" cy="3259455"/>
            <wp:effectExtent l="0" t="0" r="0" b="0"/>
            <wp:docPr id="143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35" cy="32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.1.3.9</w:t>
      </w:r>
    </w:p>
    <w:p>
      <w:pPr>
        <w:pStyle w:val="5"/>
      </w:pPr>
      <w:r>
        <w:rPr>
          <w:rFonts w:hint="eastAsia"/>
        </w:rPr>
        <w:t>1.3.5制作笔录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本功能可发送预存告知书、笔录图片、文字笔录等，其中文字输入可以选择快捷输入。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发送笔录可以选择相对应的接收方，如未进行选择，则默认为全员接收。</w:t>
      </w:r>
    </w:p>
    <w:p>
      <w:pPr>
        <w:ind w:firstLine="560" w:firstLineChars="20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.1.3.10，可选择三种形式的笔录。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24050" cy="3423285"/>
            <wp:effectExtent l="1905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207" cy="34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.1.3.10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.1.3.11所示，为发送预存告知书的界面，包括告知书、庭审告知书两类。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47875" cy="3643630"/>
            <wp:effectExtent l="19050" t="0" r="9525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624" cy="36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.1.3.12所示，为发送笔录图片的界面。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43100" cy="3457575"/>
            <wp:effectExtent l="19050" t="0" r="0" b="0"/>
            <wp:docPr id="143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图片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393" cy="34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.1.3.12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.1.3.13所示，为发送文字笔录的界面。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108835" cy="3752850"/>
            <wp:effectExtent l="19050" t="0" r="5592" b="0"/>
            <wp:docPr id="143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图片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72" cy="37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.1.3.13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点击快捷输入按钮，打开界面如图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.1.3.14所示。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可以多项选择，且选择后可进行编辑。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drawing>
          <wp:inline distT="0" distB="0" distL="0" distR="0">
            <wp:extent cx="1913890" cy="3403600"/>
            <wp:effectExtent l="9525" t="9525" r="19685" b="15875"/>
            <wp:docPr id="14340" name="图片 32" descr="C:\Users\admin9\Desktop\归档 2\用所选项目新建的文件夹\IMG_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32" descr="C:\Users\admin9\Desktop\归档 2\用所选项目新建的文件夹\IMG_008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0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.1.3.14</w:t>
      </w:r>
    </w:p>
    <w:p>
      <w:pPr>
        <w:pStyle w:val="5"/>
      </w:pPr>
      <w:r>
        <w:rPr>
          <w:rFonts w:hint="eastAsia"/>
        </w:rPr>
        <w:t>1.3.6案件调解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案件调解页面可进行文字、图片等调解相关消息的发送，以及调解协议的拟制和签署，如图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.1.3.15所示。</w:t>
      </w:r>
    </w:p>
    <w:p>
      <w:pPr>
        <w:pStyle w:val="22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133600" cy="3796665"/>
            <wp:effectExtent l="19050" t="0" r="0" b="0"/>
            <wp:docPr id="143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423" cy="38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.1.3.15</w:t>
      </w:r>
    </w:p>
    <w:p>
      <w:pPr>
        <w:pStyle w:val="22"/>
        <w:ind w:left="2318" w:leftChars="128" w:hanging="1960" w:hangingChars="7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.1.3.16所示，为文字调解协议发送页面。</w:t>
      </w:r>
      <w:r>
        <w:drawing>
          <wp:inline distT="0" distB="0" distL="0" distR="0">
            <wp:extent cx="1990725" cy="3542030"/>
            <wp:effectExtent l="19050" t="0" r="9525" b="0"/>
            <wp:docPr id="143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图片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679" cy="35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2318" w:leftChars="128" w:hanging="1960" w:hangingChars="7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.1.3.16</w:t>
      </w:r>
    </w:p>
    <w:p>
      <w:pPr>
        <w:ind w:firstLine="560" w:firstLineChars="20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点击快捷输入按钮，打开界面如图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.1.3.17所示，可以多项选择，且选择后可进行编辑。</w:t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47900" cy="3983355"/>
            <wp:effectExtent l="19050" t="19050" r="19050" b="16699"/>
            <wp:docPr id="14343" name="图片 12" descr="C:\Users\Thinkpad\Desktop\0401\新建文件夹\6-2 案件调解文字快速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图片 12" descr="C:\Users\Thinkpad\Desktop\0401\新建文件夹\6-2 案件调解文字快速输入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79" cy="3983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.1.3.17</w:t>
      </w:r>
    </w:p>
    <w:p>
      <w:pPr>
        <w:pStyle w:val="22"/>
        <w:ind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.1.3.18所示，为图片调解协议发送页面。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</w:t>
      </w:r>
      <w:r>
        <w:drawing>
          <wp:inline distT="0" distB="0" distL="0" distR="0">
            <wp:extent cx="1846580" cy="3286125"/>
            <wp:effectExtent l="19050" t="0" r="1172" b="0"/>
            <wp:docPr id="143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图片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061" cy="32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.1.3.18</w:t>
      </w:r>
    </w:p>
    <w:p>
      <w:pPr>
        <w:pStyle w:val="5"/>
      </w:pPr>
      <w:r>
        <w:rPr>
          <w:rFonts w:hint="eastAsia"/>
        </w:rPr>
        <w:t>1.3.7多方视频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.1.3.19所示，多方视频功能可邀请当前在线的当事人（及代理人）视频沟通。</w:t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00860" cy="3019425"/>
            <wp:effectExtent l="38100" t="19050" r="27783" b="28575"/>
            <wp:docPr id="14345" name="图片 10" descr="D:\zBeim\2019政法\项目-政法\20190424吉林微法院\用户手册\pic-fg\Screenshot_2019-05-27-17-38-48-185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图片 10" descr="D:\zBeim\2019政法\项目-政法\20190424吉林微法院\用户手册\pic-fg\Screenshot_2019-05-27-17-38-48-185_com.tencent.m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017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.1.3.19</w:t>
      </w:r>
    </w:p>
    <w:p>
      <w:pPr>
        <w:pStyle w:val="5"/>
      </w:pPr>
      <w:r>
        <w:rPr>
          <w:rFonts w:hint="eastAsia"/>
        </w:rPr>
        <w:t>1.3.8发送位置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.1.3.20所示，在发送位置页面，法官可以向所有诉讼参与人发送位置信息。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167255" cy="3470910"/>
            <wp:effectExtent l="0" t="0" r="4445" b="0"/>
            <wp:docPr id="143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图片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68" cy="34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.1.3.20</w:t>
      </w:r>
      <w:bookmarkEnd w:id="0"/>
      <w:bookmarkEnd w:id="1"/>
      <w:bookmarkEnd w:id="2"/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dobe 黑体 Std R">
    <w:altName w:val="苹方-简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41251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29</w:t>
    </w:r>
    <w:r>
      <w:rPr>
        <w:lang w:val="zh-CN"/>
      </w:rPr>
      <w:fldChar w:fldCharType="end"/>
    </w:r>
  </w:p>
  <w:p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FE"/>
    <w:rsid w:val="000F034F"/>
    <w:rsid w:val="0025062B"/>
    <w:rsid w:val="00267BC0"/>
    <w:rsid w:val="002C072C"/>
    <w:rsid w:val="003240F5"/>
    <w:rsid w:val="00365B01"/>
    <w:rsid w:val="00412EFE"/>
    <w:rsid w:val="004B4CD4"/>
    <w:rsid w:val="00585644"/>
    <w:rsid w:val="006E44A9"/>
    <w:rsid w:val="00914632"/>
    <w:rsid w:val="00990F77"/>
    <w:rsid w:val="00C02F35"/>
    <w:rsid w:val="00C04A83"/>
    <w:rsid w:val="00C9485A"/>
    <w:rsid w:val="00D20E88"/>
    <w:rsid w:val="00D40B16"/>
    <w:rsid w:val="00EB3700"/>
    <w:rsid w:val="00F218D8"/>
    <w:rsid w:val="00FC71CF"/>
    <w:rsid w:val="09F12D78"/>
    <w:rsid w:val="354178EC"/>
    <w:rsid w:val="DEFD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3"/>
    <w:unhideWhenUsed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Char"/>
    <w:basedOn w:val="14"/>
    <w:link w:val="2"/>
    <w:qFormat/>
    <w:uiPriority w:val="9"/>
    <w:rPr>
      <w:rFonts w:eastAsia="仿宋_GB2312"/>
      <w:b/>
      <w:bCs/>
      <w:kern w:val="44"/>
      <w:sz w:val="44"/>
      <w:szCs w:val="44"/>
    </w:rPr>
  </w:style>
  <w:style w:type="character" w:customStyle="1" w:styleId="18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4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20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Char"/>
    <w:basedOn w:val="14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23">
    <w:name w:val="批注框文本 Char"/>
    <w:basedOn w:val="14"/>
    <w:link w:val="8"/>
    <w:semiHidden/>
    <w:qFormat/>
    <w:uiPriority w:val="99"/>
    <w:rPr>
      <w:rFonts w:eastAsia="仿宋_GB2312"/>
      <w:sz w:val="18"/>
      <w:szCs w:val="18"/>
    </w:rPr>
  </w:style>
  <w:style w:type="character" w:customStyle="1" w:styleId="24">
    <w:name w:val="文档结构图 Char"/>
    <w:basedOn w:val="14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25">
    <w:name w:val="页眉 Char"/>
    <w:basedOn w:val="14"/>
    <w:link w:val="10"/>
    <w:semiHidden/>
    <w:qFormat/>
    <w:uiPriority w:val="99"/>
    <w:rPr>
      <w:rFonts w:eastAsia="仿宋_GB2312"/>
      <w:sz w:val="18"/>
      <w:szCs w:val="18"/>
    </w:rPr>
  </w:style>
  <w:style w:type="character" w:customStyle="1" w:styleId="26">
    <w:name w:val="页脚 Char"/>
    <w:basedOn w:val="14"/>
    <w:link w:val="9"/>
    <w:qFormat/>
    <w:uiPriority w:val="99"/>
    <w:rPr>
      <w:rFonts w:eastAsia="仿宋_GB2312"/>
      <w:sz w:val="18"/>
      <w:szCs w:val="18"/>
    </w:rPr>
  </w:style>
  <w:style w:type="paragraph" w:customStyle="1" w:styleId="27">
    <w:name w:val="msolistparagraph"/>
    <w:basedOn w:val="1"/>
    <w:qFormat/>
    <w:uiPriority w:val="0"/>
    <w:pPr>
      <w:autoSpaceDE w:val="0"/>
      <w:autoSpaceDN w:val="0"/>
      <w:spacing w:before="131"/>
      <w:ind w:left="790" w:hanging="284"/>
      <w:jc w:val="left"/>
    </w:pPr>
    <w:rPr>
      <w:rFonts w:hint="eastAsia" w:ascii="宋体" w:hAnsi="宋体" w:eastAsia="宋体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846</Words>
  <Characters>4824</Characters>
  <Lines>40</Lines>
  <Paragraphs>11</Paragraphs>
  <TotalTime>0</TotalTime>
  <ScaleCrop>false</ScaleCrop>
  <LinksUpToDate>false</LinksUpToDate>
  <CharactersWithSpaces>5659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2019-07-23T14:57:00Z</dcterms:created>
  <dc:creator>Thinkpad</dc:creator>
  <cp:lastModifiedBy>zhangxueke</cp:lastModifiedBy>
  <dcterms:modified xsi:type="dcterms:W3CDTF">2020-02-04T11:09:25Z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